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01" w:rsidRPr="00DB6E9E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0;width:53pt;height:70pt;z-index:251658240;visibility:visible">
            <v:imagedata r:id="rId4" o:title=""/>
            <w10:wrap type="square" side="left"/>
          </v:shape>
        </w:pict>
      </w:r>
    </w:p>
    <w:p w:rsidR="00795B01" w:rsidRPr="00386D62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C73F82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5B01" w:rsidRDefault="00795B01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5B01" w:rsidRDefault="00795B01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5B01" w:rsidRPr="00386D62" w:rsidRDefault="00795B01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795B01" w:rsidRPr="00386D62" w:rsidRDefault="00795B01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:rsidR="00795B01" w:rsidRPr="00386D62" w:rsidRDefault="00795B01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ОБ’ЄДНАНОЇ ТЕРИТОРІАЛЬНОЇ ГРОМАДИ</w:t>
      </w:r>
    </w:p>
    <w:p w:rsidR="00795B01" w:rsidRPr="00386D62" w:rsidRDefault="00795B01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області</w:t>
      </w:r>
    </w:p>
    <w:p w:rsidR="00795B01" w:rsidRPr="00386D62" w:rsidRDefault="00795B01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Сьоме демократичне скликання</w:t>
      </w:r>
    </w:p>
    <w:p w:rsidR="00795B01" w:rsidRDefault="00795B01" w:rsidP="00C51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Вісімнадцята  сесія                                                                                         </w:t>
      </w:r>
    </w:p>
    <w:p w:rsidR="00795B01" w:rsidRDefault="00795B01" w:rsidP="00C51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C51F49" w:rsidRDefault="00795B01" w:rsidP="00CE339C">
      <w:pPr>
        <w:tabs>
          <w:tab w:val="center" w:pos="5130"/>
          <w:tab w:val="left" w:pos="829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</w:t>
      </w:r>
    </w:p>
    <w:p w:rsidR="00795B01" w:rsidRPr="00B05DF1" w:rsidRDefault="00795B01" w:rsidP="00B05D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22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95B01" w:rsidRPr="00386D62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23 червня 2020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село Ямниця</w:t>
      </w:r>
    </w:p>
    <w:p w:rsidR="00795B0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встановлення ставок та </w:t>
      </w: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пільг із сплати податку</w:t>
      </w: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нерухоме майно, відмінне</w:t>
      </w: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земельної ділянки,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95B01" w:rsidRPr="00386D62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2021</w:t>
      </w: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795B01" w:rsidRPr="00386D62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01" w:rsidRPr="00100E11" w:rsidRDefault="00795B01" w:rsidP="00C7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 xml:space="preserve"> статтею 266 Податкового кодексу України, пунктом 24 частини</w:t>
      </w:r>
      <w:r w:rsidRPr="00386D62">
        <w:rPr>
          <w:rFonts w:ascii="Times New Roman" w:hAnsi="Times New Roman" w:cs="Times New Roman"/>
          <w:sz w:val="28"/>
          <w:szCs w:val="28"/>
        </w:rPr>
        <w:t xml:space="preserve"> 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 xml:space="preserve">першої статті 26 Закону України “Про місцеве самоврядування в Україні”,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Ямницька сільська рада  </w:t>
      </w:r>
    </w:p>
    <w:p w:rsidR="00795B01" w:rsidRPr="00100E11" w:rsidRDefault="00795B01" w:rsidP="00100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5B0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Положення про оподаткування податку на нерухоме майно, відмінне від земельної ділянки, згідно з додатком 1.</w:t>
      </w: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. Установити на території Ямницьк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 xml:space="preserve"> сільськ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и об’єднаної територіальної громади (с. Павлівка, с. Рибне, с.Сілець, с. Тязів, с. Ямниця)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E11">
        <w:rPr>
          <w:rFonts w:ascii="Times New Roman" w:hAnsi="Times New Roman" w:cs="Times New Roman"/>
          <w:sz w:val="28"/>
          <w:szCs w:val="28"/>
          <w:lang w:val="uk-UA"/>
        </w:rPr>
        <w:t>1) ставки податку на нерухоме майно, відмінне від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>ної ділянки, згідно з додатком 2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E11">
        <w:rPr>
          <w:rFonts w:ascii="Times New Roman" w:hAnsi="Times New Roman" w:cs="Times New Roman"/>
          <w:sz w:val="28"/>
          <w:szCs w:val="28"/>
          <w:lang w:val="uk-UA"/>
        </w:rPr>
        <w:t xml:space="preserve">2) пільги для фізичних та юридичних осіб, надані відповідно до підпункту 266.4.2 пункту 266.4 статті 266 Податкового кодексу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за переліком згідно з додатком 3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5B01" w:rsidRPr="00100E1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. Оприлюднити рішення в засобах масової інформації або в інший можливий спосіб.</w:t>
      </w:r>
    </w:p>
    <w:p w:rsidR="00795B01" w:rsidRPr="00343416" w:rsidRDefault="00795B01" w:rsidP="005D5C8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2A2928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416">
        <w:rPr>
          <w:rFonts w:ascii="Times New Roman" w:hAnsi="Times New Roman" w:cs="Times New Roman"/>
          <w:sz w:val="28"/>
          <w:szCs w:val="28"/>
          <w:lang w:val="uk-UA"/>
        </w:rPr>
        <w:t>Рішення  Ямницької сільської ради об’єднаної територіаль</w:t>
      </w:r>
      <w:r>
        <w:rPr>
          <w:rFonts w:ascii="Times New Roman" w:hAnsi="Times New Roman" w:cs="Times New Roman"/>
          <w:sz w:val="28"/>
          <w:szCs w:val="28"/>
          <w:lang w:val="uk-UA"/>
        </w:rPr>
        <w:t>ної громади від 20 червня 2019</w:t>
      </w:r>
      <w:r w:rsidRPr="00343416">
        <w:rPr>
          <w:rFonts w:ascii="Times New Roman" w:hAnsi="Times New Roman" w:cs="Times New Roman"/>
          <w:sz w:val="28"/>
          <w:szCs w:val="28"/>
          <w:lang w:val="uk-UA"/>
        </w:rPr>
        <w:t xml:space="preserve"> року «Про встановлення ставок та пільг із сплати податку на нерухоме майно, відмінн</w:t>
      </w:r>
      <w:r>
        <w:rPr>
          <w:rFonts w:ascii="Times New Roman" w:hAnsi="Times New Roman" w:cs="Times New Roman"/>
          <w:sz w:val="28"/>
          <w:szCs w:val="28"/>
          <w:lang w:val="uk-UA"/>
        </w:rPr>
        <w:t>е від земельної ділянки, на 2020</w:t>
      </w:r>
      <w:r w:rsidRPr="00343416">
        <w:rPr>
          <w:rFonts w:ascii="Times New Roman" w:hAnsi="Times New Roman" w:cs="Times New Roman"/>
          <w:sz w:val="28"/>
          <w:szCs w:val="28"/>
          <w:lang w:val="uk-UA"/>
        </w:rPr>
        <w:t xml:space="preserve"> рік» визнати таким,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втрачає чинність 31 грудня 2020</w:t>
      </w:r>
      <w:r w:rsidRPr="00343416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95B01" w:rsidRPr="005D5C81" w:rsidRDefault="00795B01" w:rsidP="005D5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41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з</w:t>
      </w:r>
      <w:r w:rsidRPr="00C73F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(І. Литвинець)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5B01" w:rsidRPr="0059285B" w:rsidRDefault="00795B01" w:rsidP="001970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. Рішення набирає чинності</w:t>
      </w:r>
      <w:r w:rsidRPr="0059285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01 січня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95B01" w:rsidRPr="0059285B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59285B" w:rsidRDefault="00795B01" w:rsidP="0059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85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                                                                                 Роман Крутий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5B01" w:rsidRDefault="00795B01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Default="00795B01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Pr="00D05331" w:rsidRDefault="00795B01" w:rsidP="00AC711F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Додаток 1</w:t>
      </w:r>
    </w:p>
    <w:p w:rsidR="00795B01" w:rsidRDefault="00795B01" w:rsidP="00AC711F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сесії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Ямницької сільської ради 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об’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єднаної  територіальної 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громади</w:t>
      </w:r>
    </w:p>
    <w:p w:rsidR="00795B01" w:rsidRDefault="00795B01" w:rsidP="00AC711F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“Про встановлення ставок та пільг із сплати податку на нерухоме майно, відмінн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 від земельної ділянки, на 2021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рік” </w:t>
      </w:r>
    </w:p>
    <w:p w:rsidR="00795B01" w:rsidRPr="00D05331" w:rsidRDefault="00795B01" w:rsidP="00AC711F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23 червня 2020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</w:t>
      </w:r>
    </w:p>
    <w:p w:rsidR="00795B01" w:rsidRPr="003D23E7" w:rsidRDefault="00795B01" w:rsidP="00AC711F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3D23E7" w:rsidRDefault="00795B01" w:rsidP="00AC7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 про оподаткування податку на  нерухоме  майно, відмінне  від земельної ділянки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1. Платники податку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ab/>
        <w:t>Платники податку визначені пунктом 266.1 статті 266 Податкового кодексу України.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2. Об’єкт оподаткування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ab/>
        <w:t>Об’єкт оподаткування визначено пунктом 266.2 статті 266 Податкового кодексу України.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3. База оподаткування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ab/>
        <w:t>База оподаткування визначена пунктом 266.3 статті 266 Податкового кодексу України.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4. Пільги із сплати податку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ab/>
        <w:t>Перелік пільг та особливості їх застосування визначено пунктом 266.4 статті 266 Податкового кодексу України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4.1.Відповідно підпункту 266.4.1 пункту 266.4 статті 266 Податкового кодексу України 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а) для квартири/квартир незалежно від їх кількості - на 60 кв. метрів;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б) для житлового будинку/будинків незалежно від їх кількості - на 120 кв. метрів;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180 кв. метрів.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Таке зменшення надається один раз за кожний базовий податковий (звітний) період (рік).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4.2.Перелік пільг для фізичних та юридичних осіб надані в межах норм підпункту 266.4.2. пункту 266.4. статті 266 Податкового кодексу України.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4.3.Відповідно підпункту 266.4.3. пункту 266.4 Податкового кодексу України пільги з податку, передбачені підпунктами 266.4.1 та 266.4.2 пункту 266.4 статті 266, для фізичних осіб не застосовуються до: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об’єкта /об’єктів оподаткування, якщо такого/таких об’єкта/об’єктів перевищує п’ятикратний розмір неоподаткованої площі, встановленої підпунктом 266.4.1 цього пункту;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об’єкта/об’єктів оподаткування, що використовуються їх власниками з метою одержання доходів (здається в оренду, лізинг, позичку, використовуються у підприємницькій діяльності).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5. Ставка податку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Ставки податку у відсотках розміру мінімальної заробітної плати, встановленої законом на 1 січня звітного (податкового) року, за 1 квадратний метр бази оподаткування відповідно Додатку 2 (додається).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6. Податковий період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Базовий податковий (звітний) період дорівнює календарному року.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7. Порядок обчислення суми податку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Обчислення суми податку з об’єкта/об’єктів житлової нерухомості, які перебувають у власності фізичних осіб, здійснюється контролюючим органом за місцем податкової адреси (місцем реєстрації) власника такої нерухомості у порядку, встановленому підпунктами 266.7.1-266.7.3,266.7.5 та пунктом 266.8 ст. 266 розділу ХІІ Податкового кодексу України.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8. Порядок сплати податку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Податок сплачується відповідно до пункту 266.9 статті 266 Податкового кодексу України.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u w:val="single"/>
          <w:lang w:val="uk-UA"/>
        </w:rPr>
        <w:t>9. Строки сплати податку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sz w:val="28"/>
          <w:szCs w:val="28"/>
          <w:lang w:val="uk-UA"/>
        </w:rPr>
        <w:t>Строки сплату податку визначені пунктом 266.10 статті 266 Податкового кодексу України.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23E7">
        <w:rPr>
          <w:rFonts w:ascii="Times New Roman" w:hAnsi="Times New Roman" w:cs="Times New Roman"/>
          <w:b/>
          <w:bCs/>
          <w:sz w:val="28"/>
          <w:szCs w:val="28"/>
          <w:lang w:val="uk-UA"/>
        </w:rPr>
        <w:t>            </w:t>
      </w: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3D23E7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Default="00795B01" w:rsidP="00AC7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B686B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ільський голова</w:t>
      </w:r>
      <w:r w:rsidRPr="000B68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Роман Крутий</w:t>
      </w: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Pr="00DB0749" w:rsidRDefault="00795B01" w:rsidP="00AC7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Додаток  3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до рішення сесії 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Ямницької сільської ради об’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єднаної територіальної громади</w:t>
      </w:r>
    </w:p>
    <w:p w:rsidR="00795B0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2BB2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встановлення ставок та пільг із сплати податку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нерухоме майно, відмінне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земельної ділянки,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2021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Pr="00D411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” </w:t>
      </w:r>
    </w:p>
    <w:p w:rsidR="00795B01" w:rsidRPr="00D05331" w:rsidRDefault="00795B01" w:rsidP="00D411F3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 23  червня 2020</w:t>
      </w:r>
      <w:r w:rsidRPr="00D053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</w:t>
      </w:r>
    </w:p>
    <w:p w:rsidR="00795B01" w:rsidRPr="00F34FE7" w:rsidRDefault="00795B01" w:rsidP="00F34F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F34FE7" w:rsidRDefault="00795B01" w:rsidP="00F34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4FE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  <w:r w:rsidRPr="00F34FE7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F34FE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1</w:t>
      </w:r>
    </w:p>
    <w:p w:rsidR="00795B01" w:rsidRPr="00F34FE7" w:rsidRDefault="00795B01" w:rsidP="00F34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34FE7">
        <w:rPr>
          <w:rFonts w:ascii="Times New Roman" w:hAnsi="Times New Roman" w:cs="Times New Roman"/>
          <w:sz w:val="28"/>
          <w:szCs w:val="28"/>
          <w:lang w:val="uk-UA"/>
        </w:rPr>
        <w:t>Пільги встановлюються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34FE7">
        <w:rPr>
          <w:rFonts w:ascii="Times New Roman" w:hAnsi="Times New Roman" w:cs="Times New Roman"/>
          <w:sz w:val="28"/>
          <w:szCs w:val="28"/>
          <w:lang w:val="uk-UA"/>
        </w:rPr>
        <w:t xml:space="preserve"> рі</w:t>
      </w:r>
      <w:r>
        <w:rPr>
          <w:rFonts w:ascii="Times New Roman" w:hAnsi="Times New Roman" w:cs="Times New Roman"/>
          <w:sz w:val="28"/>
          <w:szCs w:val="28"/>
          <w:lang w:val="uk-UA"/>
        </w:rPr>
        <w:t>к та вводяться в дію з 01.01.2021</w:t>
      </w:r>
      <w:r w:rsidRPr="00F34FE7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4FE7">
        <w:rPr>
          <w:rFonts w:ascii="Times New Roman" w:hAnsi="Times New Roman" w:cs="Times New Roman"/>
          <w:sz w:val="28"/>
          <w:szCs w:val="28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3"/>
        <w:gridCol w:w="1205"/>
        <w:gridCol w:w="3818"/>
        <w:gridCol w:w="4194"/>
      </w:tblGrid>
      <w:tr w:rsidR="00795B01" w:rsidRPr="0013184A">
        <w:trPr>
          <w:trHeight w:val="584"/>
        </w:trPr>
        <w:tc>
          <w:tcPr>
            <w:tcW w:w="1223" w:type="dxa"/>
            <w:vAlign w:val="center"/>
          </w:tcPr>
          <w:p w:rsidR="00795B01" w:rsidRPr="0013184A" w:rsidRDefault="00795B01" w:rsidP="00B72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області</w:t>
            </w: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05" w:type="dxa"/>
            <w:vAlign w:val="center"/>
          </w:tcPr>
          <w:p w:rsidR="00795B01" w:rsidRPr="0013184A" w:rsidRDefault="00795B01" w:rsidP="00B72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району</w:t>
            </w: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3818" w:type="dxa"/>
            <w:vAlign w:val="center"/>
          </w:tcPr>
          <w:p w:rsidR="00795B01" w:rsidRPr="0013184A" w:rsidRDefault="00795B01" w:rsidP="00B72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КОАТУУ</w:t>
            </w: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4194" w:type="dxa"/>
            <w:vAlign w:val="center"/>
          </w:tcPr>
          <w:p w:rsidR="00795B01" w:rsidRPr="0013184A" w:rsidRDefault="00795B01" w:rsidP="00B72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</w:t>
            </w:r>
            <w:r w:rsidRPr="0013184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795B01" w:rsidRPr="0013184A">
        <w:trPr>
          <w:trHeight w:val="300"/>
        </w:trPr>
        <w:tc>
          <w:tcPr>
            <w:tcW w:w="1223" w:type="dxa"/>
          </w:tcPr>
          <w:p w:rsidR="00795B01" w:rsidRPr="0013184A" w:rsidRDefault="00795B01" w:rsidP="00C5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</w:p>
        </w:tc>
        <w:tc>
          <w:tcPr>
            <w:tcW w:w="1205" w:type="dxa"/>
          </w:tcPr>
          <w:p w:rsidR="00795B01" w:rsidRPr="0013184A" w:rsidRDefault="00795B01" w:rsidP="00C5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18" w:type="dxa"/>
          </w:tcPr>
          <w:p w:rsidR="00795B01" w:rsidRPr="0013184A" w:rsidRDefault="00795B01" w:rsidP="00C5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2625888600</w:t>
            </w:r>
          </w:p>
        </w:tc>
        <w:tc>
          <w:tcPr>
            <w:tcW w:w="4194" w:type="dxa"/>
          </w:tcPr>
          <w:p w:rsidR="00795B01" w:rsidRPr="0013184A" w:rsidRDefault="00795B01" w:rsidP="0061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Ямницька сільська рада об’єднаної територіальної громади</w:t>
            </w:r>
          </w:p>
        </w:tc>
      </w:tr>
    </w:tbl>
    <w:p w:rsidR="00795B01" w:rsidRPr="00F34FE7" w:rsidRDefault="00795B01" w:rsidP="00F34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8"/>
        <w:gridCol w:w="2998"/>
      </w:tblGrid>
      <w:tr w:rsidR="00795B01" w:rsidRPr="0013184A">
        <w:tc>
          <w:tcPr>
            <w:tcW w:w="3569" w:type="pct"/>
            <w:vAlign w:val="center"/>
          </w:tcPr>
          <w:p w:rsidR="00795B01" w:rsidRPr="0013184A" w:rsidRDefault="00795B01" w:rsidP="0061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 платників, категорія/класифікація</w:t>
            </w: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будівель та споруд</w:t>
            </w:r>
          </w:p>
        </w:tc>
        <w:tc>
          <w:tcPr>
            <w:tcW w:w="1431" w:type="pct"/>
            <w:vAlign w:val="center"/>
          </w:tcPr>
          <w:p w:rsidR="00795B01" w:rsidRPr="0013184A" w:rsidRDefault="00795B01" w:rsidP="0061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пільги</w:t>
            </w: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(відсотків суми податкового зобов’язання за рік)</w:t>
            </w:r>
          </w:p>
        </w:tc>
      </w:tr>
      <w:tr w:rsidR="00795B01" w:rsidRPr="0013184A">
        <w:trPr>
          <w:trHeight w:val="2455"/>
        </w:trPr>
        <w:tc>
          <w:tcPr>
            <w:tcW w:w="3569" w:type="pct"/>
            <w:vAlign w:val="center"/>
          </w:tcPr>
          <w:p w:rsidR="00795B01" w:rsidRPr="005672BE" w:rsidRDefault="00795B01" w:rsidP="00B72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об’єкти нежитлової нерухомості некомерційного призначення фізичних осіб, які знаходяться виключно в межах присадибних ділянок </w:t>
            </w:r>
            <w:r w:rsidRPr="005672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(господарські будівлі та споруди, допоміжні приміщення, до яких належать сараї, хліви, гаражі, літні кухні, майстерні, вбиральні погреби, навіси, котельні, бойлерні, трансформаторні підстанції тощо);</w:t>
            </w:r>
          </w:p>
          <w:p w:rsidR="00795B01" w:rsidRPr="0013184A" w:rsidRDefault="00795B01" w:rsidP="00B72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pct"/>
            <w:vAlign w:val="center"/>
          </w:tcPr>
          <w:p w:rsidR="00795B01" w:rsidRPr="0013184A" w:rsidRDefault="00795B01" w:rsidP="00C73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795B01" w:rsidRPr="0013184A">
        <w:tc>
          <w:tcPr>
            <w:tcW w:w="3569" w:type="pct"/>
            <w:vAlign w:val="center"/>
          </w:tcPr>
          <w:p w:rsidR="00795B01" w:rsidRPr="0013184A" w:rsidRDefault="00795B01" w:rsidP="00847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об’єкти</w:t>
            </w:r>
            <w:r w:rsidRPr="005672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нежитлової нерухомості, що перебувають у власності громадських об’єднань, благодійних організацій, релігійних організацій України, статути (положення) яких зареєстровані у встановленому законом порядку, та використовуються для забезпечення діяльності, передбаченої такими статутами (положеннями).</w:t>
            </w:r>
          </w:p>
        </w:tc>
        <w:tc>
          <w:tcPr>
            <w:tcW w:w="1431" w:type="pct"/>
            <w:vAlign w:val="center"/>
          </w:tcPr>
          <w:p w:rsidR="00795B01" w:rsidRPr="0013184A" w:rsidRDefault="00795B01" w:rsidP="00C73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795B01" w:rsidRPr="00F34FE7" w:rsidRDefault="00795B01" w:rsidP="00F34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B01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5B01" w:rsidRPr="00DB6E9E" w:rsidRDefault="00795B01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</w:t>
      </w:r>
      <w:r w:rsidRPr="00DB6E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Роман Крутий</w:t>
      </w:r>
    </w:p>
    <w:p w:rsidR="00795B01" w:rsidRDefault="00795B01" w:rsidP="009407F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Default="00795B01" w:rsidP="009407F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Default="00795B01" w:rsidP="009407F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Default="00795B01" w:rsidP="009407F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01" w:rsidRPr="00350DD4" w:rsidRDefault="00795B01" w:rsidP="001970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B01" w:rsidRDefault="00795B01" w:rsidP="009407F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95B01" w:rsidRDefault="00795B01" w:rsidP="00DB0749">
      <w:pPr>
        <w:tabs>
          <w:tab w:val="left" w:pos="78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795B01" w:rsidSect="00161596">
      <w:pgSz w:w="11906" w:h="16838"/>
      <w:pgMar w:top="426" w:right="746" w:bottom="36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4CA"/>
    <w:rsid w:val="00002485"/>
    <w:rsid w:val="00016D8F"/>
    <w:rsid w:val="00036FD6"/>
    <w:rsid w:val="000A7B8A"/>
    <w:rsid w:val="000B686B"/>
    <w:rsid w:val="00100E11"/>
    <w:rsid w:val="00116D61"/>
    <w:rsid w:val="0013184A"/>
    <w:rsid w:val="00131C0E"/>
    <w:rsid w:val="00161596"/>
    <w:rsid w:val="00180B5B"/>
    <w:rsid w:val="001970B2"/>
    <w:rsid w:val="00207E9B"/>
    <w:rsid w:val="00230C3C"/>
    <w:rsid w:val="00242EC1"/>
    <w:rsid w:val="00272C48"/>
    <w:rsid w:val="0028222F"/>
    <w:rsid w:val="00287286"/>
    <w:rsid w:val="002A7269"/>
    <w:rsid w:val="002C12C6"/>
    <w:rsid w:val="002D5477"/>
    <w:rsid w:val="003079EB"/>
    <w:rsid w:val="003158EF"/>
    <w:rsid w:val="00343416"/>
    <w:rsid w:val="00350DD4"/>
    <w:rsid w:val="00386D62"/>
    <w:rsid w:val="0039626F"/>
    <w:rsid w:val="003A6205"/>
    <w:rsid w:val="003D23E7"/>
    <w:rsid w:val="003F7251"/>
    <w:rsid w:val="00422B3A"/>
    <w:rsid w:val="00465022"/>
    <w:rsid w:val="00494351"/>
    <w:rsid w:val="004D5224"/>
    <w:rsid w:val="004D642C"/>
    <w:rsid w:val="004E6129"/>
    <w:rsid w:val="004E62FF"/>
    <w:rsid w:val="004F372F"/>
    <w:rsid w:val="004F6C5E"/>
    <w:rsid w:val="00501E3B"/>
    <w:rsid w:val="00554F33"/>
    <w:rsid w:val="00561648"/>
    <w:rsid w:val="005672BE"/>
    <w:rsid w:val="005906B7"/>
    <w:rsid w:val="0059285B"/>
    <w:rsid w:val="005D5C81"/>
    <w:rsid w:val="005E3DCC"/>
    <w:rsid w:val="00611496"/>
    <w:rsid w:val="006516FF"/>
    <w:rsid w:val="00690B54"/>
    <w:rsid w:val="006A053B"/>
    <w:rsid w:val="006E6419"/>
    <w:rsid w:val="00704F68"/>
    <w:rsid w:val="0075333C"/>
    <w:rsid w:val="007650D2"/>
    <w:rsid w:val="00780A1C"/>
    <w:rsid w:val="00795B01"/>
    <w:rsid w:val="007978E8"/>
    <w:rsid w:val="007E2FA4"/>
    <w:rsid w:val="007F5BB5"/>
    <w:rsid w:val="00810BEE"/>
    <w:rsid w:val="00824963"/>
    <w:rsid w:val="00847F49"/>
    <w:rsid w:val="008D1C1D"/>
    <w:rsid w:val="008F4DBA"/>
    <w:rsid w:val="00923748"/>
    <w:rsid w:val="009407F8"/>
    <w:rsid w:val="00952496"/>
    <w:rsid w:val="0095563F"/>
    <w:rsid w:val="009564A7"/>
    <w:rsid w:val="009A6A59"/>
    <w:rsid w:val="009E30AA"/>
    <w:rsid w:val="00A03999"/>
    <w:rsid w:val="00A06775"/>
    <w:rsid w:val="00A2458F"/>
    <w:rsid w:val="00A57570"/>
    <w:rsid w:val="00A938E4"/>
    <w:rsid w:val="00A9567C"/>
    <w:rsid w:val="00AA0716"/>
    <w:rsid w:val="00AB0AAC"/>
    <w:rsid w:val="00AC576E"/>
    <w:rsid w:val="00AC711F"/>
    <w:rsid w:val="00AD5076"/>
    <w:rsid w:val="00AE7E98"/>
    <w:rsid w:val="00B05DF1"/>
    <w:rsid w:val="00B12BB2"/>
    <w:rsid w:val="00B22520"/>
    <w:rsid w:val="00B7274B"/>
    <w:rsid w:val="00B76521"/>
    <w:rsid w:val="00B8582E"/>
    <w:rsid w:val="00BA3CB2"/>
    <w:rsid w:val="00BA70ED"/>
    <w:rsid w:val="00BC3417"/>
    <w:rsid w:val="00C272D6"/>
    <w:rsid w:val="00C51F49"/>
    <w:rsid w:val="00C55A16"/>
    <w:rsid w:val="00C73F82"/>
    <w:rsid w:val="00C8236F"/>
    <w:rsid w:val="00C97E21"/>
    <w:rsid w:val="00CE339C"/>
    <w:rsid w:val="00D05331"/>
    <w:rsid w:val="00D411F3"/>
    <w:rsid w:val="00D46CF9"/>
    <w:rsid w:val="00DB0749"/>
    <w:rsid w:val="00DB6E9E"/>
    <w:rsid w:val="00DD0ADA"/>
    <w:rsid w:val="00DE0EF1"/>
    <w:rsid w:val="00E53055"/>
    <w:rsid w:val="00E55755"/>
    <w:rsid w:val="00E87818"/>
    <w:rsid w:val="00E968BE"/>
    <w:rsid w:val="00F125E3"/>
    <w:rsid w:val="00F23D2B"/>
    <w:rsid w:val="00F334FF"/>
    <w:rsid w:val="00F34FE7"/>
    <w:rsid w:val="00F77C5F"/>
    <w:rsid w:val="00FD128F"/>
    <w:rsid w:val="00FE102A"/>
    <w:rsid w:val="00F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6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24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45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4</Pages>
  <Words>1045</Words>
  <Characters>5958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otg_14</dc:creator>
  <cp:keywords/>
  <dc:description/>
  <cp:lastModifiedBy>пк</cp:lastModifiedBy>
  <cp:revision>56</cp:revision>
  <cp:lastPrinted>2019-08-30T06:07:00Z</cp:lastPrinted>
  <dcterms:created xsi:type="dcterms:W3CDTF">2018-06-05T10:50:00Z</dcterms:created>
  <dcterms:modified xsi:type="dcterms:W3CDTF">2020-07-02T06:39:00Z</dcterms:modified>
</cp:coreProperties>
</file>