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F27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3E1499" wp14:editId="13A90AF9">
            <wp:simplePos x="0" y="0"/>
            <wp:positionH relativeFrom="column">
              <wp:posOffset>2895600</wp:posOffset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270E7" w:rsidRPr="00F270E7" w:rsidRDefault="00F270E7" w:rsidP="00F270E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0"/>
          <w:szCs w:val="24"/>
          <w:lang w:val="uk-UA" w:eastAsia="ru-RU"/>
        </w:rPr>
      </w:pPr>
    </w:p>
    <w:p w:rsidR="007B1BE0" w:rsidRPr="007B1BE0" w:rsidRDefault="007B1BE0" w:rsidP="007B1B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B1BE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ЯМНИЦЬКА СІЛЬСЬКА РАДА</w:t>
      </w:r>
    </w:p>
    <w:p w:rsidR="007B1BE0" w:rsidRPr="007B1BE0" w:rsidRDefault="007B1BE0" w:rsidP="007B1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B1BE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ІВАНО-ФРАНКІВСЬКОГО РАЙОНУ </w:t>
      </w:r>
    </w:p>
    <w:p w:rsidR="007B1BE0" w:rsidRPr="007B1BE0" w:rsidRDefault="007B1BE0" w:rsidP="007B1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B1BE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7B1BE0" w:rsidRPr="007B1BE0" w:rsidRDefault="007B1BE0" w:rsidP="007B1B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B1BE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:rsidR="007B1BE0" w:rsidRPr="007B1BE0" w:rsidRDefault="007B1BE0" w:rsidP="007B1B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B1BE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ТРИДЦЯТЬ П’ЯТА СЕСІЯ</w:t>
      </w:r>
    </w:p>
    <w:p w:rsidR="007B1BE0" w:rsidRPr="007B1BE0" w:rsidRDefault="007B1BE0" w:rsidP="007B1BE0">
      <w:pPr>
        <w:spacing w:after="0" w:line="25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7B1BE0" w:rsidRPr="007B1BE0" w:rsidRDefault="00842A4A" w:rsidP="007B1BE0">
      <w:pPr>
        <w:spacing w:after="0" w:line="25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B1BE0" w:rsidRPr="007B1BE0" w:rsidRDefault="007B1BE0" w:rsidP="007B1BE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7B1BE0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 І Ш Е Н Н Я</w:t>
      </w:r>
    </w:p>
    <w:p w:rsidR="007B1BE0" w:rsidRPr="007B1BE0" w:rsidRDefault="007B1BE0" w:rsidP="007B1B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7B1BE0" w:rsidRDefault="007B1BE0" w:rsidP="007B1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 грудня 2025 року</w:t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7B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село Ямниця</w:t>
      </w:r>
    </w:p>
    <w:p w:rsidR="007B1BE0" w:rsidRPr="007B1BE0" w:rsidRDefault="007B1BE0" w:rsidP="007B1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D6E" w:rsidRDefault="000A3D6E" w:rsidP="000A3D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</w:t>
      </w:r>
    </w:p>
    <w:p w:rsidR="000A3D6E" w:rsidRDefault="000A3D6E" w:rsidP="000A3D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профілактики злочинності  </w:t>
      </w:r>
    </w:p>
    <w:p w:rsidR="000A3D6E" w:rsidRDefault="000A3D6E" w:rsidP="000A3D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«Безпечна громада» на 202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0A3D6E" w:rsidRPr="000A3D6E" w:rsidRDefault="000A3D6E" w:rsidP="000A3D6E">
      <w:pPr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D6E" w:rsidRPr="00B653CE" w:rsidRDefault="000A3D6E" w:rsidP="000A3D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вирішення цілого ряду важливих завдань, що стосується профілактики злочинності та правопорушень, зміцнення правопорядку і безпеки, вирішення соціально-побутових проблем</w:t>
      </w:r>
      <w:r w:rsidR="00925F9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</w:t>
      </w:r>
      <w:r w:rsidRPr="00B653CE">
        <w:rPr>
          <w:rFonts w:ascii="Times New Roman" w:hAnsi="Times New Roman" w:cs="Times New Roman"/>
          <w:sz w:val="28"/>
          <w:szCs w:val="28"/>
          <w:lang w:val="uk-UA"/>
        </w:rPr>
        <w:t>до Закону України «Про місцеве самоврядування в Україні»</w:t>
      </w:r>
      <w:r w:rsidR="00CD0493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="00CD0493" w:rsidRPr="008C5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постійної комісії з питань з питань фінансів, бюджету, планування соціально-економічного розвитку, інвестицій та міжнародного співробітництва</w:t>
      </w:r>
      <w:r w:rsidR="002D0D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6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F90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</w:p>
    <w:p w:rsidR="00F270E7" w:rsidRPr="00F270E7" w:rsidRDefault="00F270E7" w:rsidP="00F270E7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270E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:rsidR="008C58A0" w:rsidRDefault="000A3D6E" w:rsidP="008C58A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 профілактики злочинності «Безпечна громада» на 202</w:t>
      </w:r>
      <w:r w:rsidR="007B1BE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7B1BE0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(додається)</w:t>
      </w:r>
      <w:r w:rsidR="008C58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58A0" w:rsidRPr="008C58A0" w:rsidRDefault="008C58A0" w:rsidP="008C58A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Style w:val="FontStyle21"/>
          <w:sz w:val="28"/>
          <w:szCs w:val="28"/>
          <w:lang w:val="uk-UA"/>
        </w:rPr>
      </w:pPr>
      <w:r w:rsidRPr="00925F90">
        <w:rPr>
          <w:rStyle w:val="FontStyle21"/>
          <w:sz w:val="28"/>
          <w:szCs w:val="28"/>
          <w:lang w:val="uk-UA" w:eastAsia="uk-UA"/>
        </w:rPr>
        <w:t>Виконавчому</w:t>
      </w:r>
      <w:r w:rsidR="00CD0493">
        <w:rPr>
          <w:rStyle w:val="FontStyle21"/>
          <w:sz w:val="28"/>
          <w:szCs w:val="28"/>
          <w:lang w:val="uk-UA" w:eastAsia="uk-UA"/>
        </w:rPr>
        <w:t xml:space="preserve"> а</w:t>
      </w:r>
      <w:r w:rsidR="00925F90" w:rsidRPr="00925F90">
        <w:rPr>
          <w:rStyle w:val="FontStyle21"/>
          <w:sz w:val="28"/>
          <w:szCs w:val="28"/>
          <w:lang w:val="uk-UA" w:eastAsia="uk-UA"/>
        </w:rPr>
        <w:t xml:space="preserve">парату </w:t>
      </w:r>
      <w:r w:rsidRPr="00925F90">
        <w:rPr>
          <w:rStyle w:val="FontStyle21"/>
          <w:sz w:val="28"/>
          <w:szCs w:val="28"/>
          <w:lang w:val="uk-UA" w:eastAsia="uk-UA"/>
        </w:rPr>
        <w:t>сільської ради забезпечити</w:t>
      </w:r>
      <w:r w:rsidR="00925F90">
        <w:rPr>
          <w:rStyle w:val="FontStyle21"/>
          <w:sz w:val="28"/>
          <w:szCs w:val="28"/>
          <w:lang w:val="uk-UA" w:eastAsia="uk-UA"/>
        </w:rPr>
        <w:t xml:space="preserve"> </w:t>
      </w:r>
      <w:r w:rsidRPr="00925F90">
        <w:rPr>
          <w:rStyle w:val="FontStyle21"/>
          <w:sz w:val="28"/>
          <w:szCs w:val="28"/>
          <w:lang w:val="uk-UA" w:eastAsia="uk-UA"/>
        </w:rPr>
        <w:t>організацію</w:t>
      </w:r>
      <w:r w:rsidR="00925F90">
        <w:rPr>
          <w:rStyle w:val="FontStyle21"/>
          <w:sz w:val="28"/>
          <w:szCs w:val="28"/>
          <w:lang w:val="uk-UA" w:eastAsia="uk-UA"/>
        </w:rPr>
        <w:t xml:space="preserve"> </w:t>
      </w:r>
      <w:r w:rsidRPr="00925F90">
        <w:rPr>
          <w:rStyle w:val="FontStyle21"/>
          <w:sz w:val="28"/>
          <w:szCs w:val="28"/>
          <w:lang w:val="uk-UA" w:eastAsia="uk-UA"/>
        </w:rPr>
        <w:t>виконання</w:t>
      </w:r>
      <w:r w:rsidR="00925F90">
        <w:rPr>
          <w:rStyle w:val="FontStyle21"/>
          <w:sz w:val="28"/>
          <w:szCs w:val="28"/>
          <w:lang w:val="uk-UA" w:eastAsia="uk-UA"/>
        </w:rPr>
        <w:t xml:space="preserve"> </w:t>
      </w:r>
      <w:r w:rsidRPr="00925F90">
        <w:rPr>
          <w:rStyle w:val="FontStyle21"/>
          <w:sz w:val="28"/>
          <w:szCs w:val="28"/>
          <w:lang w:val="uk-UA" w:eastAsia="uk-UA"/>
        </w:rPr>
        <w:t>заходів</w:t>
      </w:r>
      <w:r w:rsidR="00925F90">
        <w:rPr>
          <w:rStyle w:val="FontStyle21"/>
          <w:sz w:val="28"/>
          <w:szCs w:val="28"/>
          <w:lang w:val="uk-UA" w:eastAsia="uk-UA"/>
        </w:rPr>
        <w:t xml:space="preserve"> </w:t>
      </w:r>
      <w:r w:rsidRPr="00925F90">
        <w:rPr>
          <w:rStyle w:val="FontStyle21"/>
          <w:sz w:val="28"/>
          <w:szCs w:val="28"/>
          <w:lang w:val="uk-UA" w:eastAsia="uk-UA"/>
        </w:rPr>
        <w:t>Програми.</w:t>
      </w:r>
    </w:p>
    <w:p w:rsidR="008C58A0" w:rsidRDefault="008C58A0" w:rsidP="008C58A0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Style w:val="FontStyle21"/>
          <w:sz w:val="28"/>
          <w:szCs w:val="28"/>
          <w:lang w:val="uk-UA"/>
        </w:rPr>
      </w:pPr>
      <w:r w:rsidRPr="008C58A0">
        <w:rPr>
          <w:rStyle w:val="FontStyle21"/>
          <w:sz w:val="28"/>
          <w:szCs w:val="28"/>
          <w:lang w:val="uk-UA" w:eastAsia="uk-UA"/>
        </w:rPr>
        <w:t>Фінансовому відділу Ямницької сільської ради передбачати кошти для фінансування  Програми.</w:t>
      </w:r>
    </w:p>
    <w:p w:rsidR="008C58A0" w:rsidRPr="008C58A0" w:rsidRDefault="008C58A0" w:rsidP="00822F9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38" w:after="0" w:line="317" w:lineRule="exact"/>
        <w:ind w:left="0" w:right="53" w:firstLine="284"/>
        <w:jc w:val="both"/>
        <w:rPr>
          <w:rStyle w:val="FontStyle21"/>
          <w:rFonts w:eastAsia="Times New Roman"/>
          <w:sz w:val="28"/>
          <w:szCs w:val="28"/>
          <w:lang w:val="uk-UA" w:eastAsia="uk-UA"/>
        </w:rPr>
      </w:pPr>
      <w:r w:rsidRPr="008C58A0">
        <w:rPr>
          <w:rStyle w:val="FontStyle21"/>
          <w:sz w:val="28"/>
          <w:szCs w:val="28"/>
          <w:lang w:val="uk-UA" w:eastAsia="uk-UA"/>
        </w:rPr>
        <w:t>Встановити, що бюджетні призначення для реалізації Програми 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:rsidR="000A3D6E" w:rsidRPr="008C58A0" w:rsidRDefault="000A3D6E" w:rsidP="00822F9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38" w:after="0" w:line="317" w:lineRule="exact"/>
        <w:ind w:left="0" w:right="5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</w:t>
      </w:r>
      <w:r w:rsidR="00CD0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ль за виконанням даного рішення </w:t>
      </w:r>
      <w:r w:rsidRPr="008C5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постійної комісії з питань з питань фінансів, бюджету, планування соціально-економічного розвитку, інвестицій та міжнародного співробітництва (Литвинець І.П.)</w:t>
      </w:r>
    </w:p>
    <w:p w:rsidR="00EA2816" w:rsidRDefault="00EA2816" w:rsidP="008C58A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EA2816" w:rsidRPr="00EA2816" w:rsidRDefault="000A3D6E" w:rsidP="00EA2816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  <w:r w:rsidRPr="000A3D6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0A3D6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     Роман К</w:t>
      </w:r>
      <w:r w:rsidR="007B1BE0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РУТИЙ</w:t>
      </w:r>
    </w:p>
    <w:p w:rsidR="00CD0493" w:rsidRDefault="00CD0493" w:rsidP="00925F90">
      <w:pPr>
        <w:tabs>
          <w:tab w:val="left" w:pos="6237"/>
        </w:tabs>
        <w:spacing w:after="0"/>
        <w:ind w:firstLine="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0493" w:rsidRDefault="00CD0493" w:rsidP="00925F90">
      <w:pPr>
        <w:tabs>
          <w:tab w:val="left" w:pos="6237"/>
        </w:tabs>
        <w:spacing w:after="0"/>
        <w:ind w:firstLine="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F67C2" w:rsidRPr="00C159F7" w:rsidTr="00EF67C2">
        <w:tc>
          <w:tcPr>
            <w:tcW w:w="5211" w:type="dxa"/>
          </w:tcPr>
          <w:p w:rsidR="00EF67C2" w:rsidRDefault="00EF67C2" w:rsidP="00925F90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EF67C2" w:rsidRDefault="00EF67C2" w:rsidP="00EF67C2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EF67C2" w:rsidRDefault="00EF67C2" w:rsidP="00EF67C2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Рішенням сільської ради                                                                                          від </w:t>
            </w:r>
            <w:r w:rsidR="007B1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грудня 202</w:t>
            </w:r>
            <w:r w:rsidR="007B1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  «Про затвердження                                                                               Програми профілактика</w:t>
            </w:r>
          </w:p>
          <w:p w:rsidR="00EF67C2" w:rsidRDefault="00EF67C2" w:rsidP="00EF6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«Про затвердження                                                                             Програми профілактика злочинності «Безпечна громада» на 202</w:t>
            </w:r>
            <w:r w:rsidR="007B1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-20</w:t>
            </w:r>
            <w:r w:rsidR="007B1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роки</w:t>
            </w:r>
          </w:p>
          <w:p w:rsidR="00EF67C2" w:rsidRDefault="00EF67C2" w:rsidP="00925F90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869F4" w:rsidRDefault="002869F4" w:rsidP="002869F4">
      <w:pPr>
        <w:tabs>
          <w:tab w:val="left" w:pos="6237"/>
          <w:tab w:val="left" w:pos="7060"/>
        </w:tabs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47D" w:rsidRDefault="008B3465" w:rsidP="008B346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:rsidR="007C2306" w:rsidRDefault="001B247D" w:rsidP="008B346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B3465" w:rsidRPr="00D97467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профілактики злочинності «Бе</w:t>
      </w:r>
      <w:r w:rsidR="007C2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зпечна громада» </w:t>
      </w:r>
    </w:p>
    <w:p w:rsidR="008C58A0" w:rsidRDefault="007C2306" w:rsidP="008C58A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1E3FB9" w:rsidRPr="00D97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7B1BE0" w:rsidRDefault="007B1BE0" w:rsidP="008C58A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7B1BE0" w:rsidRPr="00C159F7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Замовник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Default="007B1BE0" w:rsidP="007B1BE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Тисменицький відділ поліції Головного управління Національної поліції в Івано-Франківській області </w:t>
            </w: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B1BE0" w:rsidRPr="00C159F7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Підстава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розробки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Закон України 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«Про місцеве самоврядування в Україні»</w:t>
            </w:r>
          </w:p>
          <w:p w:rsidR="007B1BE0" w:rsidRP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B1BE0" w:rsidRP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B1BE0" w:rsidRPr="00C159F7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P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проектів та програм місцевого самоврядування виконавчого апарату сільської ради</w:t>
            </w:r>
          </w:p>
          <w:p w:rsidR="007B1BE0" w:rsidRP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B1BE0" w:rsidRPr="007B1BE0" w:rsidRDefault="007B1BE0" w:rsidP="007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B1BE0" w:rsidRPr="007B1BE0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Відповідальн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ий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виконавець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7B1BE0" w:rsidRPr="007B1BE0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реалізації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2026-2030 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ки</w:t>
            </w:r>
          </w:p>
        </w:tc>
      </w:tr>
      <w:tr w:rsidR="007B1BE0" w:rsidRPr="00C159F7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Бюджет Ямницької сільської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інші джерела фінансування</w:t>
            </w: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B1BE0" w:rsidRPr="00C159F7" w:rsidTr="007A3532">
        <w:tc>
          <w:tcPr>
            <w:tcW w:w="57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бсяг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фінанс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ування </w:t>
            </w: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:rsidR="007B1BE0" w:rsidRPr="007B1BE0" w:rsidRDefault="007B1BE0" w:rsidP="007B1BE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межах затверджених бюджетних асигнувань.</w:t>
            </w:r>
          </w:p>
          <w:p w:rsidR="007B1BE0" w:rsidRPr="007B1BE0" w:rsidRDefault="007B1BE0" w:rsidP="007B1BE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B1BE0" w:rsidRPr="007B1BE0" w:rsidRDefault="007B1BE0" w:rsidP="007B1BE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B1BE0" w:rsidRPr="00C159F7" w:rsidTr="007A3532">
        <w:tc>
          <w:tcPr>
            <w:tcW w:w="570" w:type="dxa"/>
            <w:shd w:val="clear" w:color="auto" w:fill="FFFFFF"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440" w:type="dxa"/>
            <w:shd w:val="clear" w:color="auto" w:fill="FFFFFF"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7B1BE0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рівня злочинності, </w:t>
            </w:r>
          </w:p>
          <w:p w:rsidR="007B1BE0" w:rsidRPr="00D97467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ослаблення суспільної напруги, виконаної її впливом</w:t>
            </w:r>
            <w:r w:rsidRPr="00D97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B1BE0" w:rsidRPr="00D97467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зменшення впливу організованої злочинності на економічну та політичну сфери суспільства</w:t>
            </w:r>
            <w:r w:rsidRPr="00D97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B1BE0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 захисту правоохоронними органами прав, свобод і власності громадян</w:t>
            </w:r>
            <w:r w:rsidRPr="00D97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B1BE0" w:rsidRPr="008062DA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6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безпечних умов життя в державі;</w:t>
            </w:r>
          </w:p>
          <w:p w:rsidR="007B1BE0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мінімізація злочинного впливу на молодь та підлітків;</w:t>
            </w:r>
          </w:p>
          <w:p w:rsidR="007B1BE0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усунення причин і умов, що сприяють втягненню їх у протиправну діяльність;</w:t>
            </w:r>
          </w:p>
          <w:p w:rsidR="007B1BE0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підтримання правопорядку та безпеки громадян на максимально високому рівні,</w:t>
            </w:r>
          </w:p>
          <w:p w:rsidR="007B1BE0" w:rsidRPr="00D97467" w:rsidRDefault="007B1BE0" w:rsidP="007B1BE0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кадрового потенціалу правоохоронних і контролюючих органів.</w:t>
            </w:r>
          </w:p>
          <w:p w:rsidR="007B1BE0" w:rsidRPr="007B1BE0" w:rsidRDefault="007B1BE0" w:rsidP="007B1BE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B1BE0" w:rsidRPr="007B1BE0" w:rsidTr="007A3532">
        <w:tc>
          <w:tcPr>
            <w:tcW w:w="570" w:type="dxa"/>
            <w:shd w:val="clear" w:color="auto" w:fill="FFFFFF"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440" w:type="dxa"/>
            <w:shd w:val="clear" w:color="auto" w:fill="FFFFFF"/>
          </w:tcPr>
          <w:p w:rsidR="007B1BE0" w:rsidRPr="007B1BE0" w:rsidRDefault="007B1BE0" w:rsidP="007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Термін проведення звітності</w:t>
            </w: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:rsidR="007B1BE0" w:rsidRPr="007B1BE0" w:rsidRDefault="007B1BE0" w:rsidP="007B1BE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1B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щорічно</w:t>
            </w:r>
          </w:p>
        </w:tc>
      </w:tr>
    </w:tbl>
    <w:p w:rsidR="007B1BE0" w:rsidRPr="007B1BE0" w:rsidRDefault="007B1BE0" w:rsidP="007B1B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1BE0" w:rsidRPr="007B1BE0" w:rsidRDefault="007B1BE0" w:rsidP="007B1B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1BE0" w:rsidRPr="007B1BE0" w:rsidRDefault="007B1BE0" w:rsidP="007B1BE0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827088" w:rsidRDefault="00827088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начальника </w:t>
      </w:r>
    </w:p>
    <w:p w:rsidR="00827088" w:rsidRDefault="00827088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>Тисменицьк</w:t>
      </w:r>
      <w:r w:rsidR="002E6BF8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</w:t>
      </w:r>
      <w:r w:rsidR="002E6BF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поліції </w:t>
      </w:r>
    </w:p>
    <w:p w:rsidR="00827088" w:rsidRDefault="00827088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управління </w:t>
      </w:r>
    </w:p>
    <w:p w:rsidR="00827088" w:rsidRDefault="00827088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Національної поліції </w:t>
      </w:r>
    </w:p>
    <w:p w:rsidR="008062DA" w:rsidRDefault="00827088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088">
        <w:rPr>
          <w:rFonts w:ascii="Times New Roman" w:hAnsi="Times New Roman" w:cs="Times New Roman"/>
          <w:b/>
          <w:sz w:val="28"/>
          <w:szCs w:val="28"/>
          <w:lang w:val="uk-UA"/>
        </w:rPr>
        <w:t>в Івано-Франківській області</w:t>
      </w:r>
      <w:r w:rsidR="00212CC5" w:rsidRP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12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____________________    </w:t>
      </w: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Програми </w:t>
      </w:r>
      <w:r w:rsid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____________________  </w:t>
      </w:r>
      <w:r w:rsidR="00827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088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рій ПРОЦЕНКО</w:t>
      </w: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212CC5" w:rsidP="00212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D4D" w:rsidRDefault="00615D4D" w:rsidP="008270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BF8" w:rsidRDefault="002E6BF8" w:rsidP="008270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BF8" w:rsidRDefault="002E6BF8" w:rsidP="008270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6E" w:rsidRDefault="000A3D6E" w:rsidP="000A3D6E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профілактики злочинності «Безпечна громада» </w:t>
      </w:r>
    </w:p>
    <w:p w:rsidR="000A3D6E" w:rsidRPr="00D97467" w:rsidRDefault="000A3D6E" w:rsidP="000A3D6E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r w:rsidRPr="00D97467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0A3D6E" w:rsidRDefault="000A3D6E" w:rsidP="008B3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2DA" w:rsidRDefault="00212CC5" w:rsidP="008B3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частина</w:t>
      </w:r>
    </w:p>
    <w:p w:rsidR="008B3465" w:rsidRPr="00D97467" w:rsidRDefault="008062DA" w:rsidP="002A6F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Комплексна Програма профілактики злочинності «Безпечна громада» на 202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– </w:t>
      </w:r>
      <w:r w:rsidRPr="008062DA">
        <w:rPr>
          <w:rFonts w:ascii="Times New Roman" w:hAnsi="Times New Roman" w:cs="Times New Roman"/>
          <w:sz w:val="28"/>
          <w:szCs w:val="28"/>
          <w:lang w:val="uk-UA"/>
        </w:rPr>
        <w:t xml:space="preserve">це комплекс організаційно-правових заходів місцевих органів влади, органів місцевого </w:t>
      </w:r>
      <w:r w:rsidR="00775F14" w:rsidRPr="008062DA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Pr="008062DA">
        <w:rPr>
          <w:rFonts w:ascii="Times New Roman" w:hAnsi="Times New Roman" w:cs="Times New Roman"/>
          <w:sz w:val="28"/>
          <w:szCs w:val="28"/>
          <w:lang w:val="uk-UA"/>
        </w:rPr>
        <w:t xml:space="preserve">, правоохоронних органів громади, спрямованих на підвищення ефективності боротьби зі </w:t>
      </w:r>
      <w:r w:rsidR="00775F14" w:rsidRPr="008062DA">
        <w:rPr>
          <w:rFonts w:ascii="Times New Roman" w:hAnsi="Times New Roman" w:cs="Times New Roman"/>
          <w:sz w:val="28"/>
          <w:szCs w:val="28"/>
          <w:lang w:val="uk-UA"/>
        </w:rPr>
        <w:t>злочинністю</w:t>
      </w:r>
      <w:r w:rsidRPr="008062DA">
        <w:rPr>
          <w:rFonts w:ascii="Times New Roman" w:hAnsi="Times New Roman" w:cs="Times New Roman"/>
          <w:sz w:val="28"/>
          <w:szCs w:val="28"/>
          <w:lang w:val="uk-UA"/>
        </w:rPr>
        <w:t>, тому числі її організованими формами, корупцією, попередження дорожнього травматизму та запобігання загибелі людей в дорожньо-транспортних пригодах, зміцнення матеріально-технічної бази правоохоронних органів.</w:t>
      </w:r>
    </w:p>
    <w:p w:rsidR="00486877" w:rsidRPr="00D97467" w:rsidRDefault="00486877" w:rsidP="008B3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CC5" w:rsidRDefault="00F72C2E" w:rsidP="00212CC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74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</w:t>
      </w:r>
      <w:r w:rsidR="00212C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="008270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75F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</w:t>
      </w:r>
      <w:r w:rsidRPr="00D974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рограми</w:t>
      </w:r>
    </w:p>
    <w:p w:rsidR="001448E0" w:rsidRDefault="00212CC5" w:rsidP="00775F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Метою програми є 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ефективності роботи правоохоронних органів, забезпечення активності наступальної протидії злочинності, посилення профілактичної роботи місцевих органів влади, органів місцевого самоврядування щодо усунення факторів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негативно впливають 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стан правоп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орядку в Ямницькій ОТГ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об’єднання їх зусиль та зусиль 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громадськості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законності і правопорядку </w:t>
      </w:r>
      <w:r w:rsidR="00775F14" w:rsidRPr="000A3D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об’єднаній </w:t>
      </w:r>
      <w:r w:rsidR="002A6F8C" w:rsidRPr="000A3D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територіальній</w:t>
      </w:r>
      <w:r w:rsidR="00775F14" w:rsidRPr="000A3D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громаді</w:t>
      </w:r>
      <w:r w:rsidR="00775F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основі чітко визначених пріоритетів.</w:t>
      </w:r>
    </w:p>
    <w:p w:rsidR="002A6F8C" w:rsidRDefault="00212CC5" w:rsidP="00212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Основними завданнями </w:t>
      </w:r>
      <w:r w:rsidR="002A6F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є</w:t>
      </w:r>
      <w:r w:rsidR="002A6F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зниження рівня злочинності, послаблення соціальної напруги, викликаної її впливом;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поліпшення захисту правоохоронними органами прав, свобод і власності громади, створення безпечних умов життя в громаді;</w:t>
      </w:r>
    </w:p>
    <w:p w:rsidR="002A6F8C" w:rsidRDefault="004A768B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дтримання публічного порядку та безпеки громади на максимально високому рівні;</w:t>
      </w:r>
    </w:p>
    <w:p w:rsidR="002A6F8C" w:rsidRDefault="004A768B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мінімізація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злочинного впливу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молодь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підлітків, усунення причин і умов, що сприяють втягуванню їх у протиправну діяльність;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зростання професіо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лізму працівників поліції, підвищення ефективності роботи, зростання авторитету та довіри населення до поліції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зменшення корупційних проявів, створення прозорої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прийняття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управлінських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рішень;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підвищення результативності роботи Тисменицького відділу поліції з профілактики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правопорушень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розкриття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кримінальних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проявів та підтримання належного правопорядку в громаді;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змінити кадровий потенціал та авторитет поліції, яка працює у громаді;</w:t>
      </w:r>
    </w:p>
    <w:p w:rsidR="002A6F8C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більш широко залучити населення до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 w:rsid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громадських формувань з охорони громадського порядку;</w:t>
      </w:r>
    </w:p>
    <w:p w:rsidR="002A6F8C" w:rsidRPr="002A6F8C" w:rsidRDefault="004A768B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забезпечити</w:t>
      </w:r>
      <w:r w:rsidR="008270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життєво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жливі інтереси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населення</w:t>
      </w:r>
      <w:r w:rsidR="002A6F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2A6F8C"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єктів, </w:t>
      </w:r>
      <w:r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</w:t>
      </w:r>
      <w:r w:rsidR="002A6F8C"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установ, організацій незалежно від форм власності;</w:t>
      </w:r>
    </w:p>
    <w:p w:rsidR="002A6F8C" w:rsidRPr="004A768B" w:rsidRDefault="002A6F8C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інформаційне забезпечення державних органів, </w:t>
      </w:r>
      <w:r w:rsidR="004A768B"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органів</w:t>
      </w:r>
      <w:r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місцевого самоврядування, </w:t>
      </w:r>
      <w:r w:rsidR="004A768B"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 і населення з питань забезпечення охорони громадського порядку;</w:t>
      </w:r>
    </w:p>
    <w:p w:rsidR="004A768B" w:rsidRPr="004A768B" w:rsidRDefault="004A768B" w:rsidP="002A6F8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A7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 належного рівня фінансового і матеріально-технічного забезпечення Тисменицького відділу поліції.</w:t>
      </w:r>
    </w:p>
    <w:p w:rsidR="002A6F8C" w:rsidRDefault="004A768B" w:rsidP="004A7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Закону України «Про поліцію» фінансування і матеріально-технічне забезпечення поліції здійснюється за рахунок коштів Державного бюджету України, а також джерел не заборонених законом.</w:t>
      </w:r>
    </w:p>
    <w:p w:rsidR="004A768B" w:rsidRDefault="004A768B" w:rsidP="004A7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Аналіз стану забезпечення Тисменицького відділу 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умов праці свідчить, що обсяги 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відповідають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їх дійсними потребам, фінансування проводиться 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грошове 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особового складута вит</w:t>
      </w:r>
      <w:r w:rsidR="0099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на енергоносії.</w:t>
      </w:r>
    </w:p>
    <w:p w:rsidR="00997259" w:rsidRDefault="00997259" w:rsidP="004A7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 профілактики злочинності «Безпечна громада» розроблена з метою удосконалення роботи всіх зацікавлених державних і правоохоронних органів щодо профілактики правопорушень, попередження злочинів, активного залучення до співпраці інспекторів поліції та сил громадськості, на створення належних умов для діяльності поліції, його організаційне та матеріально-технічне забезпечення і передбачає наступні заходи:</w:t>
      </w:r>
    </w:p>
    <w:p w:rsidR="00997259" w:rsidRDefault="00997259" w:rsidP="004A7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7259" w:rsidRPr="00212CC5" w:rsidRDefault="00997259" w:rsidP="00212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Організаційне забезпечення профілактики злочинності</w:t>
      </w:r>
    </w:p>
    <w:p w:rsidR="00212CC5" w:rsidRDefault="00997259" w:rsidP="00212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Розглядати питання організаційного, матеріального забезпечення виконання заходів із профілактики злочинності органами виконавчої влади та місцевого самоврядування у взаємодії з правоохоронними органами району на сесіях Ямницької сільської ради.</w:t>
      </w:r>
    </w:p>
    <w:p w:rsidR="00DA2B77" w:rsidRPr="00212CC5" w:rsidRDefault="002944AC" w:rsidP="00212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Забезпечити гласність правоохоронної діяльності спрямованої на попередження злочинності. Здійснювати підготовку матеріалів спрямованої для газет, телебачення, у тому числі, розміщувати таку інформацію на власних сторінках у мережі Інтернет, проводити зустрічі, прес-конференції, надавати необхідну допомогу у висвітленні роботи працівників відділення поліції.</w:t>
      </w:r>
    </w:p>
    <w:p w:rsidR="00212CC5" w:rsidRDefault="00B616FA" w:rsidP="00212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Вивчити громадську думку мешканців Ямницької сільської ради про роботу </w:t>
      </w:r>
      <w:r w:rsidR="000A3D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правоохоронних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органів щодо боротьби зі злочинністю. Для цього проводити анкетування, опитування громадян.</w:t>
      </w:r>
    </w:p>
    <w:p w:rsidR="00B616FA" w:rsidRPr="00212CC5" w:rsidRDefault="00B616FA" w:rsidP="00212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Систематично аналізувати стан правопорядку на території Ямницької громади. З врахуванням факторів, які негативно впливають на стан правопорядку, розробити комплексні плани заходів щодо запобігання злочинності.</w:t>
      </w:r>
    </w:p>
    <w:p w:rsidR="00B616FA" w:rsidRDefault="00B616FA" w:rsidP="00D97467">
      <w:pPr>
        <w:pStyle w:val="a3"/>
        <w:tabs>
          <w:tab w:val="left" w:pos="6937"/>
        </w:tabs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16FA" w:rsidRPr="00212CC5" w:rsidRDefault="00B616FA" w:rsidP="00212CC5">
      <w:pPr>
        <w:tabs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Заходи з охорони публічного порядку та безпеки</w:t>
      </w:r>
    </w:p>
    <w:p w:rsidR="00212CC5" w:rsidRDefault="00212CC5" w:rsidP="00212C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16FA" w:rsidRPr="00212CC5" w:rsidRDefault="00B616FA" w:rsidP="00212C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підвищення якості забезпечення публічної безпеки та роботи нарядів груп реагування патрульної поліції:</w:t>
      </w:r>
    </w:p>
    <w:p w:rsidR="00B616FA" w:rsidRDefault="00B616FA" w:rsidP="0039233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 додаткове встановлення камер </w:t>
      </w:r>
      <w:r w:rsidR="003923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відеоспостереження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12CC5" w:rsidRDefault="00B616FA" w:rsidP="00212CC5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 паливно-мастильними </w:t>
      </w:r>
      <w:r w:rsidR="003923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належної роботи службового автотранспорту та проведення спеціальних </w:t>
      </w:r>
      <w:r w:rsidR="003923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профілактичних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рейдів</w:t>
      </w:r>
      <w:r w:rsid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12CC5" w:rsidRDefault="0039233B" w:rsidP="00212CC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Для оперативного реагування на злочини, які скоюються у глобальній </w:t>
      </w:r>
      <w:r w:rsidR="00212CC5"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мережі</w:t>
      </w: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Інтернет, та проведення профілактичної роботи з їх попередження, забезпечити підрозділи поліції оргтехнікою (комп’ютерною) та витратними матеріалами до неї.</w:t>
      </w:r>
    </w:p>
    <w:p w:rsidR="00212CC5" w:rsidRDefault="0039233B" w:rsidP="00212CC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23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оперативного реагування на злочини пов’язані з неза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конною порубкою </w:t>
      </w:r>
      <w:r w:rsid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лісу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вивозу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піщано-гравійної суміші забезпечити наряди груп реагування патрульної поліції </w:t>
      </w:r>
      <w:r w:rsid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паливно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-мастильними матеріалами та автозапчастинами до </w:t>
      </w:r>
      <w:r w:rsid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службовихавтомобілів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12CC5" w:rsidRDefault="000A16FE" w:rsidP="00212CC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поліпшення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роботи з прийому громадян забезпечу</w:t>
      </w:r>
      <w:r w:rsidRPr="000A16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вати інспекторів поліції, поліцейських за рахунок коштів місцевих бюджетів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облаштувати поліцейські станції меблевим інвентарем (стільці та столи, шафи для одягу та паперів, сейфи для зберігання документації).</w:t>
      </w:r>
    </w:p>
    <w:p w:rsidR="00212CC5" w:rsidRDefault="006D7CF9" w:rsidP="00212CC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Закону України «Про участь громадян в охороні громадського порядку і державного кордону» спільно з органами місцевої виконавчої влади вживати заходів щодо розширення мережі громадських формувань охорони правопорядку. Запропонувати диференційовану систему матеріального заохочення членів громадських формувань.</w:t>
      </w:r>
    </w:p>
    <w:p w:rsidR="009143A0" w:rsidRPr="00212CC5" w:rsidRDefault="004870C9" w:rsidP="00212CC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базі Тисменицького </w:t>
      </w:r>
      <w:r w:rsidR="007C2306" w:rsidRPr="00487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C2306" w:rsidRPr="00487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поліції Головного управління Національної поліції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Українив області проводити навчання членів громадських формувань та громадських помічників інспекторів поліції за розробленою тематикою з правової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спеціальної підготовки, прийняття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заліків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видачу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кожному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члену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громадського 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ування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сертифіката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 w:rsidR="009143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проходження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підготовки.</w:t>
      </w:r>
    </w:p>
    <w:p w:rsidR="00212CC5" w:rsidRDefault="00212CC5" w:rsidP="00212CC5">
      <w:pPr>
        <w:tabs>
          <w:tab w:val="left" w:pos="6549"/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143A0" w:rsidRPr="00212CC5" w:rsidRDefault="009143A0" w:rsidP="00212CC5">
      <w:pPr>
        <w:tabs>
          <w:tab w:val="left" w:pos="6549"/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Захист життя, здоров’я, честі і гідності особи, її майна від злочинних посягань</w:t>
      </w:r>
    </w:p>
    <w:p w:rsidR="009143A0" w:rsidRPr="00212CC5" w:rsidRDefault="000A3D6E" w:rsidP="00212CC5">
      <w:pPr>
        <w:tabs>
          <w:tab w:val="left" w:pos="709"/>
          <w:tab w:val="left" w:pos="654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5C68CA"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профілактики правопорушень забезпечити встановлення камер відеоспостереження у навчальних закладах Ямницької громади. </w:t>
      </w:r>
    </w:p>
    <w:p w:rsidR="00B616FA" w:rsidRDefault="00B616FA" w:rsidP="00B616FA">
      <w:pPr>
        <w:tabs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16FA" w:rsidRDefault="005C68CA" w:rsidP="00212CC5">
      <w:pPr>
        <w:tabs>
          <w:tab w:val="left" w:pos="6549"/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Запобігання поширенню наркоманії</w:t>
      </w:r>
    </w:p>
    <w:p w:rsidR="00212CC5" w:rsidRDefault="005C68CA" w:rsidP="00212C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Проводити відпрацювання розважальних закладів і місць масового відпочинку молоді (барів, кафе, дискотек, нічних клубів тощо) для недопущення розповсюдження в них наркотичних засобів.</w:t>
      </w:r>
    </w:p>
    <w:p w:rsidR="00B616FA" w:rsidRDefault="008738CD" w:rsidP="00212C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38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Проводити в навчальних закладах оперативно-профілактичні заходи, у т.ч.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інформаційно-освітнього характеру, для запобігання проникненню до них наркотичних засобів і психотропних речовин, поширення їх серед учнів.</w:t>
      </w:r>
    </w:p>
    <w:p w:rsidR="008738CD" w:rsidRPr="008738CD" w:rsidRDefault="008738CD" w:rsidP="00212CC5">
      <w:pPr>
        <w:tabs>
          <w:tab w:val="left" w:pos="682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8738CD" w:rsidRPr="00212CC5" w:rsidRDefault="008738CD" w:rsidP="00212CC5">
      <w:pPr>
        <w:tabs>
          <w:tab w:val="left" w:pos="682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Заходи, спрямовані на підвищення безпеки дорожнього руху</w:t>
      </w:r>
    </w:p>
    <w:p w:rsidR="00212CC5" w:rsidRDefault="00075666" w:rsidP="00212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C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проведення належного моніторингу транспорту потоків встановити камери відеоспостереження, обладнати їх додаткової системою, яка б дозволила фіксувати порушення Правил дорожнього руху.</w:t>
      </w:r>
    </w:p>
    <w:p w:rsidR="00075666" w:rsidRPr="00075666" w:rsidRDefault="00075666" w:rsidP="00212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попередження дорожньо-транспортних пригод на території громади, особливо з важкими наслідками, вирішити питання </w:t>
      </w:r>
      <w:r w:rsidR="00AD47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доріг Ямницької громади та встановлення додаткових </w:t>
      </w:r>
      <w:r w:rsidR="00AD47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обмежувальнихзнаків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C68CA" w:rsidRDefault="00AD47B9" w:rsidP="00212CC5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:rsidR="000A3D6E" w:rsidRDefault="000A3D6E" w:rsidP="00A5219E">
      <w:pPr>
        <w:tabs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C68CA" w:rsidRDefault="00A5219E" w:rsidP="00A5219E">
      <w:pPr>
        <w:tabs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Фінансове забезпечення програми</w:t>
      </w:r>
    </w:p>
    <w:p w:rsidR="00A5219E" w:rsidRDefault="00A5219E" w:rsidP="00A5219E">
      <w:pPr>
        <w:tabs>
          <w:tab w:val="left" w:pos="69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5219E" w:rsidRDefault="00A5219E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виконання цієї програми здійснюється в межах видатків, передбачених в бюджеті Ямницької сільської ради.</w:t>
      </w:r>
    </w:p>
    <w:p w:rsidR="00A5219E" w:rsidRDefault="00A5219E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Обсяг фінансування Програми з бюджету </w:t>
      </w:r>
      <w:r w:rsidR="004D14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виходячи з конкретних завдань та наявних коштів і може </w:t>
      </w:r>
      <w:r w:rsidR="004D14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уточнюватися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час формування проекту </w:t>
      </w:r>
      <w:r w:rsidR="004D14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Ямницької </w:t>
      </w:r>
      <w:r w:rsidR="004D14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на відповідні роки з урахуванням можливостей </w:t>
      </w:r>
      <w:r w:rsidR="004D14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дохідної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частини бюджету. </w:t>
      </w:r>
    </w:p>
    <w:p w:rsidR="004D1468" w:rsidRDefault="004D1468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0AAF" w:rsidRDefault="00D60AAF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0AAF" w:rsidRDefault="00D60AAF" w:rsidP="00D60AA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60AAF" w:rsidRPr="00D60AAF" w:rsidRDefault="00964A5E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64A5E"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 ради                                                          Юрій П</w:t>
      </w:r>
      <w:r w:rsidR="007B1BE0">
        <w:rPr>
          <w:rFonts w:ascii="Times New Roman" w:hAnsi="Times New Roman" w:cs="Times New Roman"/>
          <w:b/>
          <w:sz w:val="28"/>
          <w:szCs w:val="28"/>
          <w:lang w:val="uk-UA"/>
        </w:rPr>
        <w:t>РОЦЕНКО</w:t>
      </w:r>
    </w:p>
    <w:p w:rsidR="00D60AAF" w:rsidRDefault="00D60AAF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0AAF" w:rsidRDefault="00D60AAF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0AAF" w:rsidRDefault="00D60AAF" w:rsidP="00A5219E">
      <w:pPr>
        <w:tabs>
          <w:tab w:val="left" w:pos="693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64A5E" w:rsidRDefault="00964A5E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0A3D6E">
      <w:pPr>
        <w:tabs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D60AAF" w:rsidP="004D1468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27088" w:rsidTr="00510E5D">
        <w:tc>
          <w:tcPr>
            <w:tcW w:w="5211" w:type="dxa"/>
          </w:tcPr>
          <w:p w:rsidR="00827088" w:rsidRDefault="00827088" w:rsidP="00D60AAF">
            <w:pPr>
              <w:tabs>
                <w:tab w:val="left" w:pos="57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827088" w:rsidRDefault="00827088" w:rsidP="00827088">
            <w:pPr>
              <w:tabs>
                <w:tab w:val="left" w:pos="57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11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827088" w:rsidRPr="00827088" w:rsidRDefault="00827088" w:rsidP="008270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профілактика</w:t>
            </w:r>
          </w:p>
          <w:p w:rsidR="00827088" w:rsidRPr="00827088" w:rsidRDefault="00827088" w:rsidP="008270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злочинності «Безпечна                   </w:t>
            </w:r>
          </w:p>
          <w:p w:rsidR="00827088" w:rsidRPr="00827088" w:rsidRDefault="00827088" w:rsidP="008270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громада» на 202</w:t>
            </w:r>
            <w:r w:rsidR="00C1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</w:t>
            </w:r>
            <w:r w:rsidR="00C1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827088" w:rsidRDefault="00827088" w:rsidP="00D60AAF">
            <w:pPr>
              <w:tabs>
                <w:tab w:val="left" w:pos="57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27088" w:rsidRDefault="00827088" w:rsidP="00D60AAF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088" w:rsidRDefault="00827088" w:rsidP="00D60AAF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0AAF" w:rsidRPr="00DA2035" w:rsidRDefault="00D60AAF" w:rsidP="00D60AAF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організаційних заходів виконання Програми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2468"/>
      </w:tblGrid>
      <w:tr w:rsidR="00D60AAF" w:rsidTr="001C2363">
        <w:tc>
          <w:tcPr>
            <w:tcW w:w="704" w:type="dxa"/>
          </w:tcPr>
          <w:p w:rsidR="00D60AAF" w:rsidRPr="00DF1199" w:rsidRDefault="00D60AAF" w:rsidP="001C2363">
            <w:pPr>
              <w:tabs>
                <w:tab w:val="left" w:pos="80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53" w:type="dxa"/>
          </w:tcPr>
          <w:p w:rsidR="00D60AAF" w:rsidRPr="00DF1199" w:rsidRDefault="00D60AAF" w:rsidP="001C2363">
            <w:pPr>
              <w:tabs>
                <w:tab w:val="left" w:pos="80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126" w:type="dxa"/>
          </w:tcPr>
          <w:p w:rsidR="00D60AAF" w:rsidRPr="00DF1199" w:rsidRDefault="00D60AAF" w:rsidP="001C2363">
            <w:pPr>
              <w:tabs>
                <w:tab w:val="left" w:pos="80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 </w:t>
            </w:r>
          </w:p>
        </w:tc>
        <w:tc>
          <w:tcPr>
            <w:tcW w:w="2468" w:type="dxa"/>
          </w:tcPr>
          <w:p w:rsidR="00D60AAF" w:rsidRPr="00DF1199" w:rsidRDefault="00D60AAF" w:rsidP="001C2363">
            <w:pPr>
              <w:tabs>
                <w:tab w:val="left" w:pos="8020"/>
              </w:tabs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</w:t>
            </w:r>
            <w:r w:rsid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</w:tr>
      <w:tr w:rsidR="00D60AAF" w:rsidTr="00C71A67">
        <w:tc>
          <w:tcPr>
            <w:tcW w:w="704" w:type="dxa"/>
          </w:tcPr>
          <w:p w:rsidR="00D60AAF" w:rsidRPr="00DF1199" w:rsidRDefault="00D60AAF" w:rsidP="00D60AAF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  <w:vAlign w:val="center"/>
          </w:tcPr>
          <w:p w:rsidR="00D60AAF" w:rsidRPr="00D60AAF" w:rsidRDefault="00D60AAF" w:rsidP="00D6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паливно-мастильними матеріалами для належної роботи службового автотранспорту та проведення спеціальних профілактичних рейдів</w:t>
            </w:r>
          </w:p>
        </w:tc>
        <w:tc>
          <w:tcPr>
            <w:tcW w:w="2126" w:type="dxa"/>
          </w:tcPr>
          <w:p w:rsidR="00D60AAF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B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D60AAF" w:rsidRPr="00DA2035" w:rsidRDefault="00D60AAF" w:rsidP="00D60AAF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D60AAF" w:rsidRPr="00DF1199" w:rsidTr="00C71A67">
        <w:tc>
          <w:tcPr>
            <w:tcW w:w="704" w:type="dxa"/>
          </w:tcPr>
          <w:p w:rsidR="00D60AAF" w:rsidRDefault="00D60AAF" w:rsidP="00D60AAF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vAlign w:val="center"/>
          </w:tcPr>
          <w:p w:rsidR="00D60AAF" w:rsidRPr="00D60AAF" w:rsidRDefault="00D60AAF" w:rsidP="00D6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оргтехніки та витратні матеріали до неї (комп’ютери, принтери, камери відеоспостереження і т.</w:t>
            </w:r>
            <w:r w:rsidR="00827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д.)</w:t>
            </w:r>
          </w:p>
        </w:tc>
        <w:tc>
          <w:tcPr>
            <w:tcW w:w="2126" w:type="dxa"/>
          </w:tcPr>
          <w:p w:rsidR="00D60AAF" w:rsidRPr="00DF1199" w:rsidRDefault="004B4B7E" w:rsidP="00D60AAF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B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D60AAF" w:rsidRDefault="00D60AAF" w:rsidP="00D60AAF">
            <w:r w:rsidRPr="000840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4B4B7E" w:rsidRPr="00D60AAF" w:rsidTr="00D60AAF">
        <w:trPr>
          <w:trHeight w:val="50"/>
        </w:trPr>
        <w:tc>
          <w:tcPr>
            <w:tcW w:w="704" w:type="dxa"/>
          </w:tcPr>
          <w:p w:rsidR="004B4B7E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vAlign w:val="center"/>
          </w:tcPr>
          <w:p w:rsidR="004B4B7E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бланкової продукції та придбання канцтоварів</w:t>
            </w:r>
          </w:p>
        </w:tc>
        <w:tc>
          <w:tcPr>
            <w:tcW w:w="2126" w:type="dxa"/>
          </w:tcPr>
          <w:p w:rsidR="004B4B7E" w:rsidRDefault="004B4B7E" w:rsidP="004B4B7E">
            <w:r w:rsidRPr="004254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4B4B7E" w:rsidRPr="00DA2035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4B4B7E" w:rsidRPr="00D60AAF" w:rsidTr="00D60AAF">
        <w:trPr>
          <w:trHeight w:val="1264"/>
        </w:trPr>
        <w:tc>
          <w:tcPr>
            <w:tcW w:w="704" w:type="dxa"/>
          </w:tcPr>
          <w:p w:rsidR="004B4B7E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vAlign w:val="center"/>
          </w:tcPr>
          <w:p w:rsidR="004B4B7E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Облаштування поліцейської станції меблевим інвентарем (стільці та столи, шафи для одягу та паперів, аптечками)</w:t>
            </w:r>
          </w:p>
        </w:tc>
        <w:tc>
          <w:tcPr>
            <w:tcW w:w="2126" w:type="dxa"/>
          </w:tcPr>
          <w:p w:rsidR="004B4B7E" w:rsidRDefault="004B4B7E" w:rsidP="004B4B7E">
            <w:r w:rsidRPr="004254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4B4B7E" w:rsidRDefault="004B4B7E" w:rsidP="004B4B7E">
            <w:r w:rsidRPr="000840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4B4B7E" w:rsidRPr="00D60AAF" w:rsidTr="00D60AAF">
        <w:trPr>
          <w:trHeight w:val="570"/>
        </w:trPr>
        <w:tc>
          <w:tcPr>
            <w:tcW w:w="704" w:type="dxa"/>
          </w:tcPr>
          <w:p w:rsidR="004B4B7E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  <w:vAlign w:val="center"/>
          </w:tcPr>
          <w:p w:rsidR="004B4B7E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автозапчастинами для службового автотранспорту</w:t>
            </w:r>
          </w:p>
        </w:tc>
        <w:tc>
          <w:tcPr>
            <w:tcW w:w="2126" w:type="dxa"/>
          </w:tcPr>
          <w:p w:rsidR="004B4B7E" w:rsidRDefault="004B4B7E" w:rsidP="004B4B7E">
            <w:r w:rsidRPr="004254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4B4B7E" w:rsidRPr="00DA2035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4B4B7E" w:rsidRPr="00D60AAF" w:rsidTr="00D60AAF">
        <w:trPr>
          <w:trHeight w:val="1250"/>
        </w:trPr>
        <w:tc>
          <w:tcPr>
            <w:tcW w:w="704" w:type="dxa"/>
          </w:tcPr>
          <w:p w:rsidR="004B4B7E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  <w:vAlign w:val="center"/>
          </w:tcPr>
          <w:p w:rsidR="004B4B7E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протипожежними засобами (вогнегасниками), індивідуальними та аптечками в транспортні засоби</w:t>
            </w:r>
          </w:p>
        </w:tc>
        <w:tc>
          <w:tcPr>
            <w:tcW w:w="2126" w:type="dxa"/>
          </w:tcPr>
          <w:p w:rsidR="004B4B7E" w:rsidRDefault="004B4B7E" w:rsidP="004B4B7E">
            <w:r w:rsidRPr="00E93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4B4B7E" w:rsidRDefault="004B4B7E" w:rsidP="004B4B7E">
            <w:r w:rsidRPr="000840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  <w:tr w:rsidR="004B4B7E" w:rsidRPr="00D60AAF" w:rsidTr="00D60AAF">
        <w:trPr>
          <w:trHeight w:val="750"/>
        </w:trPr>
        <w:tc>
          <w:tcPr>
            <w:tcW w:w="704" w:type="dxa"/>
          </w:tcPr>
          <w:p w:rsidR="004B4B7E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vAlign w:val="center"/>
          </w:tcPr>
          <w:p w:rsidR="004B4B7E" w:rsidRPr="00D60AAF" w:rsidRDefault="004B4B7E" w:rsidP="004B4B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поточного ремонту приміщень</w:t>
            </w:r>
          </w:p>
        </w:tc>
        <w:tc>
          <w:tcPr>
            <w:tcW w:w="2126" w:type="dxa"/>
          </w:tcPr>
          <w:p w:rsidR="004B4B7E" w:rsidRDefault="004B4B7E" w:rsidP="004B4B7E">
            <w:r w:rsidRPr="00E93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апарат сільської ради</w:t>
            </w:r>
          </w:p>
        </w:tc>
        <w:tc>
          <w:tcPr>
            <w:tcW w:w="2468" w:type="dxa"/>
          </w:tcPr>
          <w:p w:rsidR="004B4B7E" w:rsidRPr="00DA2035" w:rsidRDefault="004B4B7E" w:rsidP="004B4B7E">
            <w:pPr>
              <w:tabs>
                <w:tab w:val="left" w:pos="80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</w:tbl>
    <w:p w:rsidR="00D60AAF" w:rsidRDefault="00D60AAF" w:rsidP="00D60AAF">
      <w:pPr>
        <w:tabs>
          <w:tab w:val="left" w:pos="693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A3D6E" w:rsidRDefault="000A3D6E" w:rsidP="000A3D6E">
      <w:pPr>
        <w:tabs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60AAF" w:rsidRDefault="000A3D6E" w:rsidP="000A3D6E">
      <w:pPr>
        <w:tabs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сільської ради                                                            Юрій П</w:t>
      </w:r>
      <w:r w:rsidR="009D77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РОЦЕНКО</w:t>
      </w:r>
    </w:p>
    <w:sectPr w:rsidR="00D60AAF" w:rsidSect="00D97467">
      <w:pgSz w:w="12240" w:h="15840"/>
      <w:pgMar w:top="851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954"/>
    <w:multiLevelType w:val="hybridMultilevel"/>
    <w:tmpl w:val="1FDCA70A"/>
    <w:lvl w:ilvl="0" w:tplc="F790E656">
      <w:start w:val="5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1D12D8C"/>
    <w:multiLevelType w:val="hybridMultilevel"/>
    <w:tmpl w:val="F9444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5FCD"/>
    <w:multiLevelType w:val="hybridMultilevel"/>
    <w:tmpl w:val="5D24BA26"/>
    <w:lvl w:ilvl="0" w:tplc="845E9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A07403"/>
    <w:multiLevelType w:val="hybridMultilevel"/>
    <w:tmpl w:val="20746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0088"/>
    <w:multiLevelType w:val="hybridMultilevel"/>
    <w:tmpl w:val="04323FDA"/>
    <w:lvl w:ilvl="0" w:tplc="01A2F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4F54D9C"/>
    <w:multiLevelType w:val="multilevel"/>
    <w:tmpl w:val="9FD4EF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13E37C6"/>
    <w:multiLevelType w:val="hybridMultilevel"/>
    <w:tmpl w:val="7B608C90"/>
    <w:lvl w:ilvl="0" w:tplc="11EAB1F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9141239">
    <w:abstractNumId w:val="4"/>
  </w:num>
  <w:num w:numId="2" w16cid:durableId="84959189">
    <w:abstractNumId w:val="6"/>
  </w:num>
  <w:num w:numId="3" w16cid:durableId="133181005">
    <w:abstractNumId w:val="0"/>
  </w:num>
  <w:num w:numId="4" w16cid:durableId="922493565">
    <w:abstractNumId w:val="2"/>
  </w:num>
  <w:num w:numId="5" w16cid:durableId="2075155890">
    <w:abstractNumId w:val="1"/>
  </w:num>
  <w:num w:numId="6" w16cid:durableId="1606188580">
    <w:abstractNumId w:val="3"/>
  </w:num>
  <w:num w:numId="7" w16cid:durableId="93131204">
    <w:abstractNumId w:val="5"/>
  </w:num>
  <w:num w:numId="8" w16cid:durableId="901712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B9"/>
    <w:rsid w:val="00075666"/>
    <w:rsid w:val="000A16FE"/>
    <w:rsid w:val="000A2B14"/>
    <w:rsid w:val="000A3D6E"/>
    <w:rsid w:val="001448E0"/>
    <w:rsid w:val="001B247D"/>
    <w:rsid w:val="001D7459"/>
    <w:rsid w:val="001E3FB9"/>
    <w:rsid w:val="00212CC5"/>
    <w:rsid w:val="00213422"/>
    <w:rsid w:val="002869F4"/>
    <w:rsid w:val="002944AC"/>
    <w:rsid w:val="002A6F8C"/>
    <w:rsid w:val="002D0D6F"/>
    <w:rsid w:val="002E6BF8"/>
    <w:rsid w:val="003418C8"/>
    <w:rsid w:val="0039233B"/>
    <w:rsid w:val="00394862"/>
    <w:rsid w:val="003C6C4E"/>
    <w:rsid w:val="003E3F6E"/>
    <w:rsid w:val="004010BB"/>
    <w:rsid w:val="00486877"/>
    <w:rsid w:val="004870C9"/>
    <w:rsid w:val="004A768B"/>
    <w:rsid w:val="004B43F2"/>
    <w:rsid w:val="004B4B7E"/>
    <w:rsid w:val="004D1468"/>
    <w:rsid w:val="00510E5D"/>
    <w:rsid w:val="00532707"/>
    <w:rsid w:val="005C3012"/>
    <w:rsid w:val="005C68CA"/>
    <w:rsid w:val="005F7CFA"/>
    <w:rsid w:val="00615D4D"/>
    <w:rsid w:val="00623B1F"/>
    <w:rsid w:val="006447B0"/>
    <w:rsid w:val="00654048"/>
    <w:rsid w:val="00692FA7"/>
    <w:rsid w:val="006D7CF9"/>
    <w:rsid w:val="00705D63"/>
    <w:rsid w:val="007411FA"/>
    <w:rsid w:val="00772377"/>
    <w:rsid w:val="00775F14"/>
    <w:rsid w:val="007B1BE0"/>
    <w:rsid w:val="007C2306"/>
    <w:rsid w:val="008062DA"/>
    <w:rsid w:val="00827088"/>
    <w:rsid w:val="00842A4A"/>
    <w:rsid w:val="0087042E"/>
    <w:rsid w:val="008738CD"/>
    <w:rsid w:val="008B3465"/>
    <w:rsid w:val="008C58A0"/>
    <w:rsid w:val="008D0ED4"/>
    <w:rsid w:val="009143A0"/>
    <w:rsid w:val="00925F90"/>
    <w:rsid w:val="00945BAF"/>
    <w:rsid w:val="00964A5E"/>
    <w:rsid w:val="00997259"/>
    <w:rsid w:val="009D7714"/>
    <w:rsid w:val="00A5219E"/>
    <w:rsid w:val="00A553DA"/>
    <w:rsid w:val="00AA18A1"/>
    <w:rsid w:val="00AD47B9"/>
    <w:rsid w:val="00B616FA"/>
    <w:rsid w:val="00B653CE"/>
    <w:rsid w:val="00BA061A"/>
    <w:rsid w:val="00C159F7"/>
    <w:rsid w:val="00C23D13"/>
    <w:rsid w:val="00C45F08"/>
    <w:rsid w:val="00C70D66"/>
    <w:rsid w:val="00C8218C"/>
    <w:rsid w:val="00CD0493"/>
    <w:rsid w:val="00D60AAF"/>
    <w:rsid w:val="00D97467"/>
    <w:rsid w:val="00DA2B77"/>
    <w:rsid w:val="00DB55DB"/>
    <w:rsid w:val="00DC407A"/>
    <w:rsid w:val="00E6092E"/>
    <w:rsid w:val="00EA2816"/>
    <w:rsid w:val="00EC23A6"/>
    <w:rsid w:val="00EC440C"/>
    <w:rsid w:val="00EF67C2"/>
    <w:rsid w:val="00F270E7"/>
    <w:rsid w:val="00F43101"/>
    <w:rsid w:val="00F52766"/>
    <w:rsid w:val="00F52E97"/>
    <w:rsid w:val="00F72C2E"/>
    <w:rsid w:val="00FD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6E90"/>
  <w15:docId w15:val="{062D9248-8D3B-46A1-89C9-6B81F24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B9"/>
    <w:pPr>
      <w:ind w:left="720"/>
      <w:contextualSpacing/>
    </w:pPr>
  </w:style>
  <w:style w:type="table" w:styleId="a4">
    <w:name w:val="Table Grid"/>
    <w:basedOn w:val="a1"/>
    <w:uiPriority w:val="39"/>
    <w:rsid w:val="005F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10BB"/>
    <w:rPr>
      <w:rFonts w:ascii="Segoe UI" w:hAnsi="Segoe UI" w:cs="Segoe UI"/>
      <w:sz w:val="18"/>
      <w:szCs w:val="18"/>
    </w:rPr>
  </w:style>
  <w:style w:type="character" w:customStyle="1" w:styleId="FontStyle21">
    <w:name w:val="Font Style21"/>
    <w:rsid w:val="008C58A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8122</Words>
  <Characters>4630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32</cp:revision>
  <cp:lastPrinted>2020-12-21T13:31:00Z</cp:lastPrinted>
  <dcterms:created xsi:type="dcterms:W3CDTF">2020-12-18T20:47:00Z</dcterms:created>
  <dcterms:modified xsi:type="dcterms:W3CDTF">2026-01-04T14:37:00Z</dcterms:modified>
</cp:coreProperties>
</file>